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FrauFöV (Brandenburg) — Unterauftrag</w:t>
      </w:r>
    </w:p>
    <w:p>
      <w:r>
        <w:rPr>
          <w:color w:val="555555"/>
          <w:sz w:val="18"/>
        </w:rPr>
        <w:t xml:space="preserve">Frauenförderverordnung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Sofern ein Bieter, der sich zur Vertragserfüllung eines Unterauftragnehmers bedienen darf, nach § 6 oder § 7 bevorzugt werden will, muß er im Rahmen des Ausschreibungsverfahrens die Angaben zu § 4 in Form der Anlage dieser Rechtsverordnung auch für das Unternehmen des Unterauftragnehmers vorlegen. § 9 Abs. 2 und 3 gilt entsprechend.</w:t>
      </w:r>
    </w:p>
    <w:p>
      <w:r>
        <w:t xml:space="preserve">(2) Bei Verträgen nach Absatz 1 sind die auf den Unterauftragnehmer bezogenen Angaben bei der Entscheidung über die Bevorzugung von der Vergabestelle den Angaben des Bieters zuzurechnen.</w:t>
      </w:r>
    </w:p>
    <w:p>
      <w:r>
        <w:rPr>
          <w:color w:val="555555"/>
          <w:sz w:val="17"/>
        </w:rPr>
        <w:t xml:space="preserve">Zitiervorschlag: § 5 FrauFöV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https://recht.nulegal.eu/gesetze/FrauF%C3%B6V/5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FrauFöV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