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FrauFöV (Brandenburg) — Ausnahmen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bevorzugte Berücksichtigung findet nicht statt für Aufträge, die auf Grund des jeweiligen Auftragsvolumens die in § 2 Nr. 3, 4, 7 und 8 der Vergabeverordnung vom 9. Januar 2001 (BGBl. I S. 110) genannten Schwellenwerte erreichen oder überschreiten.</w:t>
      </w:r>
    </w:p>
    <w:p>
      <w:r>
        <w:t xml:space="preserve">(2) Die Verordnung findet keine Anwendung auf die Vergabe öffentlicher Aufträge durch Dienststellen des Landes, deren Sitz sich außerhalb der Landesgrenzen befindet.</w:t>
      </w:r>
    </w:p>
    <w:p>
      <w:r>
        <w:rPr>
          <w:color w:val="555555"/>
          <w:sz w:val="17"/>
        </w:rPr>
        <w:t xml:space="preserve">Zitiervorschlag: § 2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