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FrauFöV (Brandenburg) — Berichterstattung</w:t>
      </w:r>
    </w:p>
    <w:p>
      <w:r>
        <w:rPr>
          <w:color w:val="555555"/>
          <w:sz w:val="18"/>
        </w:rPr>
        <w:t xml:space="preserve">Frauenförderverordnung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Frauen und Gleichstellung zuständige Ressort ist berechtigt, jährlich von den Vergabestellen statistische Angaben über Art und Ausmaß der nach dieser Verordnung an bevorzugte Unternehmen vergebenen Aufträge zu verlangen.</w:t>
      </w:r>
    </w:p>
    <w:p>
      <w:r>
        <w:rPr>
          <w:color w:val="555555"/>
          <w:sz w:val="17"/>
        </w:rPr>
        <w:t xml:space="preserve">Zitiervorschlag: § 14 FrauFöV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https://recht.nulegal.eu/gesetze/FrauF%C3%B6V/14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