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FraktG (Brandenburg) — Rückgewähr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Mittel, die nicht für die in den §§ 7 und 8 bestimmten Zwecke verwendet wurden, sind bis zum Ablauf der Frist nach § 13 Absatz 1 Satz 1 zurückzugeben. Nach Ablauf der Frist kann die Präsidentin oder der Präsident des Landtages den Anspruch durch Verwaltungsakt geltend machen. Der Anspruch verjährt zehn Jahre nach Ablauf der Frist.</w:t>
      </w:r>
    </w:p>
    <w:p>
      <w:r>
        <w:t xml:space="preserve">(2) Verliert eine Vereinigung von Abgeordneten die Rechtsstellung als Fraktion, so sind Sachleistungen, die das Land Brandenburg zur Verfügung gestellt hat, zurückzugeben.</w:t>
      </w:r>
    </w:p>
    <w:p>
      <w:r>
        <w:t xml:space="preserve">(3) Verringert sich die Zahl der Mitglieder einer Fraktion, sind Sachleistungen, die das Land Brandenburg zur Verfügung gestellt hat, insoweit zurückzuerstatten, als die Ausstattung über das im Landtag übliche Maß hinausgeht.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