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FraktG (Brandenburg) — Rücklagen und Kredite</w:t>
      </w:r>
    </w:p>
    <w:p>
      <w:r>
        <w:rPr>
          <w:color w:val="555555"/>
          <w:sz w:val="18"/>
        </w:rPr>
        <w:t xml:space="preserve">Fraktionsgesetz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Fraktionen sind berechtigt, aus den ihnen zugewiesenen Mitteln eine allgemeine Rücklage zu bilden. Die Rücklage darf 35 Prozent der jährlich gemäß § 6 Absatz 1 gezahlten Mittel nicht überschreiten. Die Mittel können auch über die Wahlperiode hinaus übertragen werden.</w:t>
      </w:r>
    </w:p>
    <w:p>
      <w:r>
        <w:t xml:space="preserve">(2) Die Aufnahme von Krediten durch Fraktionen ist unzulässig.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8 FraktG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https://recht.nulegal.eu/gesetze/FraktG/8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