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FraktG (Brandenburg) — Geld- und Sachleistungen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Gruppen im Sinne des § 21 Absatz 1 erhalten zur Unterstützung der Zusammenarbeit ihrer Mitglieder Leistungen in entsprechender Anwendung von § 6 mit folgenden Maßgaben:</w:t>
      </w:r>
    </w:p>
    <w:p>
      <w:r>
        <w:t xml:space="preserve">der Grundbetrag beträgt bei Gruppen 65 Prozent des einer Fraktion zustehenden entsprechenden Betrages;</w:t>
      </w:r>
    </w:p>
    <w:p>
      <w:r>
        <w:t xml:space="preserve">der Betrag pro Mitglied und der Oppositionszuschlag gemäß § 6 Absatz 1 Satz 2 beträgt bei Gruppen 100 Prozent des einer Fraktion zustehenden entsprechenden Betrages;</w:t>
      </w:r>
    </w:p>
    <w:p>
      <w:r>
        <w:t xml:space="preserve">die §§ 7, 8, 9, 10 Absatz 1, 2 und 4 sowie die §§ 11 bis 15 gelten entsprechend;</w:t>
      </w:r>
    </w:p>
    <w:p>
      <w:r>
        <w:t xml:space="preserve">der gemäß § 10 Absatz 1 maßgebliche Zeitpunkt ist der Eingang der Anzeige über die Bildung einer Gruppe im Sinne des § 21 Absatz 1 Satz 2 bei der Präsidentin oder dem Präsidenten des Landtages.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