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FraktG (Brandenburg) — Haftung</w:t>
      </w:r>
    </w:p>
    <w:p>
      <w:r>
        <w:rPr>
          <w:color w:val="555555"/>
          <w:sz w:val="18"/>
        </w:rPr>
        <w:t xml:space="preserve">Fraktionsgesetz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Fällt den Liquidatorinnen oder Liquidatoren bei der Durchführung der Liquidation ein Verschulden zur Last, so haften diese für den daraus entstandenen Schaden gegenüber den Gläubigerinnen oder Gläubigern als Gesamtschuldner.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20 FraktG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https://recht.nulegal.eu/gesetze/FraktG/20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