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FraktG (Brandenburg) — Buchführung</w:t>
      </w:r>
    </w:p>
    <w:p>
      <w:r>
        <w:rPr>
          <w:color w:val="555555"/>
          <w:sz w:val="18"/>
        </w:rPr>
        <w:t xml:space="preserve">Fraktionsgesetz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Fraktionen haben über ihre Einnahmen und Ausgaben nach Maßgabe des § 13 Absatz 3 Buch zu führen. Die Vorschriften über das öffentliche Haushalts-, Rechnungs- und Kassenwesen finden auf die Fraktionen keine Anwendung.</w:t>
      </w:r>
    </w:p>
    <w:p>
      <w:r>
        <w:t xml:space="preserve">(2) Aus den Mitteln der Fraktion beschaffte bewegliche Sachen sind, soweit sie den in § 6 Absatz 2 Satz 1 des Einkommensteuergesetzes in der jeweils geltenden Fassung festgesetzten Wert übersteigen, zu kennzeichnen und in einem besonderen Nachweis (Gegenstandsverzeichnis) aufzuführen. Für vom Landtag beschaffte bewegliche Sachen, die die Fraktionen nach § 6 Absatz 6 zur Nutzung erhalten, erfolgen Kennzeichnung und Nachweis durch die Landtagsverwaltung.</w:t>
      </w:r>
    </w:p>
    <w:p>
      <w:r>
        <w:t xml:space="preserve">(3) Die Rechnungsunterlagen sind fünf Jahre aufzubewahren.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12 FraktG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https://recht.nulegal.eu/gesetze/FraktG/12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