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FraktG (Brandenburg) — Zahlungsvorschriften</w:t>
      </w:r>
    </w:p>
    <w:p>
      <w:r>
        <w:rPr>
          <w:color w:val="555555"/>
          <w:sz w:val="18"/>
        </w:rPr>
        <w:t xml:space="preserve">Fraktionsgesetz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Auszahlung der Mittel erfolgt jeweils am ersten Werktag eines jeden Monats. Über Ausnahmen entscheidet die Präsidentin oder der Präsident im Einvernehmen mit dem Präsidium des Landtages.</w:t>
      </w:r>
    </w:p>
    <w:p>
      <w:r>
        <w:t xml:space="preserve">(2) Ist nur ein Teil zu leisten, so wird auf jeden Kalendertag ein Dreißigstel der vollen monatlichen Mittel gezahlt.</w:t>
      </w:r>
    </w:p>
    <w:p>
      <w:r>
        <w:t xml:space="preserve">(3) Leistungen nach diesem Gesetz werden auf volle Euro nach oben gerundet.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11 FraktG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https://recht.nulegal.eu/gesetze/FraktG/11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