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FraktG (Brandenburg) — Beginn und Ende der Ansprüche</w:t>
      </w:r>
    </w:p>
    <w:p>
      <w:r>
        <w:rPr>
          <w:color w:val="555555"/>
          <w:sz w:val="18"/>
        </w:rPr>
        <w:t xml:space="preserve">Fraktionsgesetz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Anspruch gemäß § 6 Absatz 1 entsteht mit dem Tag der Konstituierung der Fraktion, frühestens jedoch mit Beginn der Wahlperiode. Im Falle des § 1 Absatz 1 Satz 4 besteht für den Zeitraum von der Konstituierung der Fraktion, jedoch frühestens ab der Konstituierung des neu gewählten Landtages, bis zur Entscheidung durch den Landtag ein Anspruch nach § 6 Absatz 1.</w:t>
      </w:r>
    </w:p>
    <w:p>
      <w:r>
        <w:t xml:space="preserve">(2) Der Anspruch endet mit Ablauf des Monats, in dem die Vereinigung von Abgeordneten die Rechtsstellung als Fraktion verliert.</w:t>
      </w:r>
    </w:p>
    <w:p>
      <w:r>
        <w:t xml:space="preserve">(3) Tritt eine Fraktion die Rechtsnachfolge für eine in der vorausgegangenen Wahlperiode bestehende Fraktion an, werden von der vorhergehenden Fraktion gemäß § 6 Absatz 1 für den Monat des Entstehens des Anspruches der nachfolgenden Fraktion bereits bezogene Mittel auf deren Anspruch angerechnet.</w:t>
      </w:r>
    </w:p>
    <w:p>
      <w:r>
        <w:t xml:space="preserve">(4) Ändert sich im Laufe eines Monats die Zahl der Mitglieder der Fraktion, so wird der Zuschuss für diesen Monat nach der höheren Zahl berechnet.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FraktG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https://recht.nulegal.eu/gesetze/FraktG/10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