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FrUrlV NRW (Nordrhein-Westfalen) — Anwendung des Bundeselterngeld- und Elternzeitgesetzes</w:t>
      </w:r>
    </w:p>
    <w:p>
      <w:r>
        <w:rPr>
          <w:color w:val="555555"/>
          <w:sz w:val="18"/>
        </w:rPr>
        <w:t xml:space="preserve">Freistellungs- und Urlaubsverordnung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Beamtinnen und Beamte haben Anspruch auf Elternzeit ohne Besoldung in entsprechender Anwendung des § 15 Absatz 1 bis 3 und § 16 des Bundeselterngeld- und Elternzeitgesetzes vom 5. Dezember 2006 (BGBl. I S. 2748) in der jeweils geltenden Fassung, soweit nachfolgend nichts Abweichendes geregelt ist.</w:t>
      </w:r>
    </w:p>
    <w:p>
      <w:r>
        <w:rPr>
          <w:color w:val="555555"/>
          <w:sz w:val="17"/>
        </w:rPr>
        <w:t xml:space="preserve">Zitiervorschlag: § 9 FrUrlV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https://recht.nulegal.eu/gesetze/FrUrlV%20NRW/9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