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FrUrlV NRW (Nordrhein-Westfalen) — Entlassungsverbot</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Entlassung einer Beamtin auf Probe oder auf Widerruf darf gegen ihren Willen nicht ausgesprochen werden</w:t>
      </w:r>
    </w:p>
    <w:p>
      <w:r>
        <w:t xml:space="preserve">1. während der Schwangerschaft,</w:t>
      </w:r>
    </w:p>
    <w:p>
      <w:r>
        <w:t xml:space="preserve">2. bis zum Ablauf von vier Monaten nach einer Fehlgeburt nach der zwölften Schwangerschaftswoche und</w:t>
      </w:r>
    </w:p>
    <w:p>
      <w:r>
        <w:t xml:space="preserve">3. bis zum Ende ihrer Schutzfrist nach der Entbindung, mindestens jedoch bis zum Ablauf von vier Monaten nach der Entbindung,</w:t>
      </w:r>
    </w:p>
    <w:p>
      <w:r>
        <w:t xml:space="preserve">wenn der dienstvorgesetzten Stelle zum Zeitpunkt der Entlassung die Schwangerschaft, die Fehlgeburt nach der zwölften Schwangerschaftswoche oder die Entbindung bekannt ist oder wenn sie ihr innerhalb von zwei Wochen nach Zustellung der Entlassungsverfügung mitgeteilt wird. Das Überschreiten dieser Frist ist unbeachtlich, wenn es auf einem von der Beamtin nicht zu vertretenden Grund beruht und die Mitteilung unverzüglich nachgeholt wird. Die Sätze 1 und 2 gelten entsprechend für Maßnahmen zur Vorbereitung einer Entlassung.</w:t>
      </w:r>
    </w:p>
    <w:p>
      <w:r>
        <w:t xml:space="preserve">(2) In besonderen Fällen kann die oberste Dienstbehörde abweichend von Absatz 1 eine Entlassung aussprechen, wenn ein Sachverhalt vorliegt, bei dem eine Beamtin auf Lebenszeit im Wege eines Disziplinarverfahrens aus dem Beamtenverhältnis zu entfernen wäre.</w:t>
      </w:r>
    </w:p>
    <w:p>
      <w:r>
        <w:t xml:space="preserve">(3) Die §§ 22 und 23 Absätze 1 und 2 des Beamtenstatusgesetzes bleiben unberührt.</w:t>
      </w:r>
    </w:p>
    <w:p>
      <w:r>
        <w:rPr>
          <w:color w:val="555555"/>
          <w:sz w:val="17"/>
        </w:rPr>
        <w:t xml:space="preserve">Zitiervorschlag: § 6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