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FrUrlV NRW (Nordrhein-Westfalen) — Urlaubsanspruch</w:t>
      </w:r>
    </w:p>
    <w:p>
      <w:r>
        <w:rPr>
          <w:color w:val="555555"/>
          <w:sz w:val="18"/>
        </w:rPr>
        <w:t xml:space="preserve">Freistellungs- und Urlaubsverordnung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Beamtinnen und Beamte haben in jedem Kalenderjahr (Urlaubsjahr) Anspruch auf Erholungsurlaub unter Fortzahlung der Besoldung.</w:t>
      </w:r>
    </w:p>
    <w:p>
      <w:r>
        <w:t xml:space="preserve">(2) Erholungsurlaub kann erst nach einer Beschäftigungszeit im öffentlichen Dienst von sechs Monaten, bei Beamtinnen und Beamten auf Widerruf im Vorbereitungsdienst und bei Beamtinnen und Beamten, die das 18. Lebensjahr zu Beginn des Urlaubsjahres noch nicht vollendet haben, nach einer Wartezeit von drei Monaten beansprucht werden. Ausnahmen können aus besonderen Gründen zugelassen werden.</w:t>
      </w:r>
    </w:p>
    <w:p>
      <w:r>
        <w:rPr>
          <w:color w:val="555555"/>
          <w:sz w:val="17"/>
        </w:rPr>
        <w:t xml:space="preserve">Zitiervorschlag: § 17 FrUrlV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https://recht.nulegal.eu/gesetze/FrUrlV%20NRW/17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FrUrlV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