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FrUrlV NRW (Nordrhein-Westfalen) — Richterlicher Dienst</w:t>
      </w:r>
    </w:p>
    <w:p>
      <w:r>
        <w:rPr>
          <w:color w:val="555555"/>
          <w:sz w:val="18"/>
        </w:rPr>
        <w:t xml:space="preserve">Freistellungs- und Urlaubsverordnung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Richterinnen und Richter müssen die im Sinne von § 10 Absatz 1 zulässige Teilzeitbeschäftigung mindestens mit 30 Prozent des regelmäßigen Dienstes leisten.</w:t>
      </w:r>
    </w:p>
    <w:p>
      <w:r>
        <w:rPr>
          <w:color w:val="555555"/>
          <w:sz w:val="17"/>
        </w:rPr>
        <w:t xml:space="preserve">Zitiervorschlag: § 14 FrUrlV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https://recht.nulegal.eu/gesetze/FrUrlV%20NRW/14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FrUrlV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