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FrUrlV NRW (Nordrhein-Westfalen) — Entlassung aus dem Beamtenverhältnis</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der Elternzeit darf die Entlassung von Beamtinnen und Beamten auf Probe oder auf Widerruf gegen ihren Willen nur ausgesprochen werden, wenn ein Sachverhalt vorliegt, bei dem Beamtinnen und Beamte auf Lebenszeit aus dem Dienst zu entfernen wären.</w:t>
      </w:r>
    </w:p>
    <w:p>
      <w:r>
        <w:t xml:space="preserve">(2) Die §§ 22 und 23 Absätze 1 und 2 des Beamtenstatusgesetzes bleiben unberührt.</w:t>
      </w:r>
    </w:p>
    <w:p>
      <w:r>
        <w:rPr>
          <w:color w:val="555555"/>
          <w:sz w:val="17"/>
        </w:rPr>
        <w:t xml:space="preserve">Zitiervorschlag: § 12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