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FrSaftV 2004 — Verkehrsverbote</w:t>
      </w:r>
    </w:p>
    <w:p>
      <w:r>
        <w:rPr>
          <w:color w:val="555555"/>
          <w:sz w:val="18"/>
        </w:rPr>
        <w:t xml:space="preserve">Fruchtsaft- und Erfrischungsgetränkeverordnung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Lebensmittel, die mit einer in Anlage 1 aufgeführten Bezeichnung versehen sind, ohne der in Anlage 1 jeweils festgelegten Herstellungsanforderung oder § 2 Absatz 1, 4, 5 Satz 1, Absatz 6 oder 7 zu entsprechen, dürfen nicht in den Verkehr gebracht werden.</w:t>
      </w:r>
    </w:p>
    <w:p>
      <w:r>
        <w:rPr>
          <w:color w:val="555555"/>
          <w:sz w:val="17"/>
        </w:rPr>
        <w:t xml:space="preserve">Zitiervorschlag: § 7 FrSaftV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https://recht.nulegal.eu/gesetze/FrSaftV%202004/7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