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FrSaftV 2004 — Besondere Anforderungen an Herstellung und Inverkehrbringen</w:t>
      </w:r>
    </w:p>
    <w:p>
      <w:r>
        <w:rPr>
          <w:color w:val="555555"/>
          <w:sz w:val="18"/>
        </w:rPr>
        <w:t xml:space="preserve">Fruchtsaft- und Erfrischungsgetränkeverordnung</w:t>
      </w:r>
    </w:p>
    <w:p>
      <w:r>
        <w:rPr>
          <w:color w:val="555555"/>
          <w:sz w:val="18"/>
        </w:rPr>
        <w:t xml:space="preserve">Stand: 10.06.2019 (konsolidierte Textfassung, kein amtliches Inkrafttretensdatum)</w:t>
      </w:r>
    </w:p>
    <w:p>
      <w:r>
        <w:t xml:space="preserve">(1) Ein koffeinhaltiges Erfrischungsgetränk darf nur so hergestellt oder in den Verkehr gebracht werden, dass im Enderzeugnis Koffein mit einem Gesamtgehalt, einschließlich der aus anderen Zutaten stammenden Gehalte, nicht die in Anlage 8 Teil A festgelegte Höchstmenge übersteigt.</w:t>
      </w:r>
    </w:p>
    <w:p>
      <w:r>
        <w:t xml:space="preserve">(2) Ein Energydrink darf nur so hergestellt oder in den Verkehr gebracht werden, dass im Enderzeugnis die in Anlage 8 Teil B genannten Stoffe nicht die dort jeweils festgesetzten Höchstmengen übersteigen.</w:t>
      </w:r>
    </w:p>
    <w:p>
      <w:r>
        <w:rPr>
          <w:color w:val="555555"/>
          <w:sz w:val="17"/>
        </w:rPr>
        <w:t xml:space="preserve">Zitiervorschlag: § 5 FrSaftV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https://recht.nulegal.eu/gesetze/FrSaftV%202004/5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