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FrSaftV 2004 — Zutaten, Herstellungsanforderungen</w:t>
      </w:r>
    </w:p>
    <w:p>
      <w:r>
        <w:rPr>
          <w:color w:val="555555"/>
          <w:sz w:val="18"/>
        </w:rPr>
        <w:t xml:space="preserve">Fruchtsaft- und Erfrischungsgetränkeverordnung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Die Ausgangserzeugnisse für Erzeugnisse nach Anlage 1 müssen den Anforderungen der Anlage 2 entsprechen.</w:t>
      </w:r>
    </w:p>
    <w:p>
      <w:r>
        <w:t xml:space="preserve">(2) Für die Herstellung von Erzeugnissen nach Anlage 1 dürfen die in Anlage 3 aufgeführten Zutaten nach den dort genannten Maßgaben verwendet werden.</w:t>
      </w:r>
    </w:p>
    <w:p>
      <w:r>
        <w:t xml:space="preserve">(3) Für die Herstellung von Erzeugnissen nach Anlage 1 dürfen die in Anlage 4 Abschnitt A aufgeführten Verfahren nach den dort genannten Maßgaben angewendet werden.</w:t>
      </w:r>
    </w:p>
    <w:p>
      <w:r>
        <w:t xml:space="preserve">(4) Bei dem Herstellen von Erzeugnissen nach Anlage 1 dürfen</w:t>
      </w:r>
    </w:p>
    <w:p>
      <w:pPr>
        <w:ind w:left="420"/>
      </w:pPr>
      <w:r>
        <w:t xml:space="preserve">1. vorbehaltlich Absatz 5 Satz 2 und Absatz 7 andere als die in den Absätzen 1 und 2 bezeichneten Zutaten nicht verwendet und</w:t>
      </w:r>
    </w:p>
    <w:p>
      <w:pPr>
        <w:ind w:left="420"/>
      </w:pPr>
      <w:r>
        <w:t xml:space="preserve">2. andere als in Anlage 4 Abschnitt A bezeichnete Verfahren nicht angewendet</w:t>
      </w:r>
    </w:p>
    <w:p>
      <w:r>
        <w:t xml:space="preserve">werden.</w:t>
      </w:r>
    </w:p>
    <w:p>
      <w:r>
        <w:t xml:space="preserve">(5) Als Stoffe für die Bearbeitung von Erzeugnissen nach Anlage 1 bei ihrer Herstellung sind die in Anlage 4 Abschnitt B aufgeführten Stoffe nur nach den dort genannten Maßgaben zugelassen. Im Übrigen sind die Vorschriften der Verordnung (EG) Nr. 1333/2008 anzuwenden.</w:t>
      </w:r>
    </w:p>
    <w:p>
      <w:r>
        <w:t xml:space="preserve">(6) Fruchtnektare müssen die nach Anlage 5 vorgeschriebenen Mindestgehalte an Fruchtsaft oder Fruchtmark aufweisen.</w:t>
      </w:r>
    </w:p>
    <w:p>
      <w:r>
        <w:t xml:space="preserve">(7) Bei Fruchtsäften aus Fruchtsaftkonzentrat muss die lösliche Trockenmasse dem jeweiligen Mindestbrixwert für wiederhergestellte Säfte nach Anlage 6 entsprechen. Abweichend von Satz 1 muss der Mindestbrixwert des wiederhergestellten Fruchtsaftes bei Fruchtsaft aus Fruchtsaftkonzentrat, der aus einer nicht in Anlage 6 aufgeführten Frucht hergestellt wird, dem Brixwert des Saftes entsprechen, der zur Herstellung des Konzentrates verwendet wurde.</w:t>
      </w:r>
    </w:p>
    <w:p>
      <w:r>
        <w:t xml:space="preserve">(8) Unberührt bleiben die Vorschriften über den Zusatz von Vitaminen und Mineralstoffen zu Lebensmitteln.</w:t>
      </w:r>
    </w:p>
    <w:p>
      <w:r>
        <w:rPr>
          <w:color w:val="555555"/>
          <w:sz w:val="17"/>
        </w:rPr>
        <w:t xml:space="preserve">Zitiervorschlag: § 2 FrSaftV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