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FrSaftV 2004 — Übergangsregelung für Kräuter- und Früchtetee für Säuglinge oder Kleinkinder</w:t>
      </w:r>
    </w:p>
    <w:p>
      <w:r>
        <w:rPr>
          <w:color w:val="555555"/>
          <w:sz w:val="18"/>
        </w:rPr>
        <w:t xml:space="preserve">Fruchtsaft- und Erfrischungsgetränkeverordnung</w:t>
      </w:r>
    </w:p>
    <w:p>
      <w:r>
        <w:rPr>
          <w:color w:val="555555"/>
          <w:sz w:val="18"/>
        </w:rPr>
        <w:t xml:space="preserve">Außer Kraft: § 12 ist seit 25.06.2023 nicht mehr im FrSaftV 2004 enthalten. Angezeigt wird die letzte bekannte Fassung, Stand 29.05.2020.</w:t>
      </w:r>
    </w:p>
    <w:p>
      <w:r>
        <w:t xml:space="preserve">Bis zum 29. November 2020 dürfen Kräuter- und Früchtetee für Säuglinge oder Kleinkinder nach den bis zum 28. Mai 2020 geltenden Vorschriften hergestellt und gekennzeichnet werden. Nach Satz 1 hergestellte und gekennzeichnete Kräuter- und Früchtetee für Säuglinge oder Kleinkinder dürfen noch bis zum Abbau der Vorräte in den Verkehr gebracht werden.</w:t>
      </w:r>
    </w:p>
    <w:p>
      <w:r>
        <w:rPr>
          <w:color w:val="555555"/>
          <w:sz w:val="17"/>
        </w:rPr>
        <w:t xml:space="preserve">Zitiervorschlag: § 12 FrSaftV 2004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https://recht.nulegal.eu/gesetze/FrSaftV%202004/12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