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FrSaftV 2004 — Inkrafttreten, Außerkrafttreten</w:t>
      </w:r>
    </w:p>
    <w:p>
      <w:r>
        <w:rPr>
          <w:color w:val="555555"/>
          <w:sz w:val="18"/>
        </w:rPr>
        <w:t xml:space="preserve">Fruchtsaft- und Erfrischungsgetränkeverordnung</w:t>
      </w:r>
    </w:p>
    <w:p>
      <w:r>
        <w:rPr>
          <w:color w:val="555555"/>
          <w:sz w:val="18"/>
        </w:rPr>
        <w:t xml:space="preserve">Stand: 14.06.2026 (konsolidierte Textfassung, kein amtliches Inkrafttretensdatum)</w:t>
      </w:r>
    </w:p>
    <w:p>
      <w:r>
        <w:t xml:space="preserve">Die Verordnung tritt am Tag nach der Verkündung in Kraft.</w:t>
      </w:r>
    </w:p>
    <w:p>
      <w:r>
        <w:rPr>
          <w:color w:val="555555"/>
          <w:sz w:val="17"/>
        </w:rPr>
        <w:t xml:space="preserve">Zitiervorschlag: § 10 FrSaftV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https://recht.nulegal.eu/gesetze/FrSaftV%202004/10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