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FrHfGrDEGV 2</w:t>
      </w:r>
    </w:p>
    <w:p>
      <w:r>
        <w:rPr>
          <w:color w:val="555555"/>
          <w:sz w:val="18"/>
        </w:rPr>
        <w:t xml:space="preserve">Zweite Verordnung zur Änderung der Grenze des Freihafens Deggendorf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des Gesetzes zur Errichtung neuer Freihäfen und zur Änderung des Zollgesetzes vom 25. Juli 1989 (BGBl. I S. 1541) und des § 20 Abs. 2 des Zollverwaltungsgesetzes vom 21. Dezember 1992 (BGBl. I S. 2125), der durch das Gesetz vom 20. Dezember 1996 (BGBl. I S. 2030)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FrHfGrDEGV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https://recht.nulegal.eu/gesetze/FrHfGrDEGV%202/eingangsformel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