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 FrHfCuxGrV 2001 — Inkrafttreten, Außerkrafttreten</w:t>
      </w:r>
    </w:p>
    <w:p>
      <w:r>
        <w:rPr>
          <w:color w:val="555555"/>
          <w:sz w:val="18"/>
        </w:rPr>
        <w:t xml:space="preserve">Verordnung über die Grenze des Freihafens Cuxhaven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2 FrHfCuxGrV 2001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https://recht.nulegal.eu/gesetze/FrHfCuxGrV%202001/2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 FrHfCuxGrV 2001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