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FrühV</w:t>
      </w:r>
    </w:p>
    <w:p>
      <w:r>
        <w:rPr>
          <w:color w:val="555555"/>
          <w:sz w:val="18"/>
        </w:rPr>
        <w:t xml:space="preserve">Frühförderungsverordnung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32 Nr. 1 des Neunten Buches Sozialgesetzbuch - Rehabilitation und Teilhabe behinderter Menschen - (Artikel 1 des Gesetzes vom 19. Juni 2001, BGBl. I S. 1046, 1047), der zuletzt durch Artikel 1 Nr. 3 des Gesetzes vom 3. April 2003 (BGBl. I S. 462) geändert worden ist, verordnet das Bundesministerium für Gesundheit und Soziale Sicherung:</w:t>
      </w:r>
    </w:p>
    <w:p>
      <w:r>
        <w:rPr>
          <w:color w:val="555555"/>
          <w:sz w:val="17"/>
        </w:rPr>
        <w:t xml:space="preserve">Zitiervorschlag: Eingangsformel FrühV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https://recht.nulegal.eu/gesetze/Fr%C3%BChV/eingangsformel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