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FrühV — Früherkennung und Frühförderung</w:t>
      </w:r>
    </w:p>
    <w:p>
      <w:r>
        <w:rPr>
          <w:color w:val="555555"/>
          <w:sz w:val="18"/>
        </w:rPr>
        <w:t xml:space="preserve">Frühförderungsverordnung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Leistungen nach § 1 umfassen</w:t>
      </w:r>
    </w:p>
    <w:p>
      <w:pPr>
        <w:ind w:left="420"/>
      </w:pPr>
      <w:r>
        <w:t xml:space="preserve">1. Leistungen zur medizinischen Rehabilitation (§ 5),</w:t>
      </w:r>
    </w:p>
    <w:p>
      <w:pPr>
        <w:ind w:left="420"/>
      </w:pPr>
      <w:r>
        <w:t xml:space="preserve">2. heilpädagogische Leistungen (§ 6) und</w:t>
      </w:r>
    </w:p>
    <w:p>
      <w:pPr>
        <w:ind w:left="420"/>
      </w:pPr>
      <w:r>
        <w:t xml:space="preserve">3. weitere Leistungen (§ 6a).</w:t>
      </w:r>
    </w:p>
    <w:p>
      <w:r>
        <w:t xml:space="preserve">Die erforderlichen Leistungen werden unter Inanspruchnahme von fachlich geeigneten interdisziplinären Frühförderstellen, von nach Landesrecht zugelassenen Einrichtungen mit vergleichbarem interdisziplinärem Förder-, Behandlungs- und Beratungsspektrum und von sozialpädiatrischen Zentren unter Einbeziehung des sozialen Umfelds der Kinder ausgeführt.</w:t>
      </w:r>
    </w:p>
    <w:p>
      <w:r>
        <w:rPr>
          <w:color w:val="555555"/>
          <w:sz w:val="17"/>
        </w:rPr>
        <w:t xml:space="preserve">Zitiervorschlag: § 2 FrühV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https://recht.nulegal.eu/gesetze/Fr%C3%BChV/2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