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 FrühV — Inkrafttreten</w:t>
      </w:r>
    </w:p>
    <w:p>
      <w:r>
        <w:rPr>
          <w:color w:val="555555"/>
          <w:sz w:val="18"/>
        </w:rPr>
        <w:t xml:space="preserve">Frühförderungsverordnung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 Verordnung tritt am ersten Tage des auf die Verkündung folgenden Kalendermonats in Kraft.</w:t>
      </w:r>
    </w:p>
    <w:p>
      <w:r>
        <w:rPr>
          <w:color w:val="555555"/>
          <w:sz w:val="17"/>
        </w:rPr>
        <w:t xml:space="preserve">Zitiervorschlag: § 10 FrühV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https://recht.nulegal.eu/gesetze/Fr%C3%BChV/10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