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FrühV — Anwendungsbereich</w:t>
      </w:r>
    </w:p>
    <w:p>
      <w:r>
        <w:rPr>
          <w:color w:val="555555"/>
          <w:sz w:val="18"/>
        </w:rPr>
        <w:t xml:space="preserve">Frühförderungsverordnung</w:t>
      </w:r>
    </w:p>
    <w:p>
      <w:r>
        <w:rPr>
          <w:color w:val="555555"/>
          <w:sz w:val="18"/>
        </w:rPr>
        <w:t xml:space="preserve">Stand: 10.06.2019 (konsolidierte Textfassung, kein amtliches Inkrafttretensdatum)</w:t>
      </w:r>
    </w:p>
    <w:p>
      <w:r>
        <w:t xml:space="preserve">Die Abgrenzung der durch interdisziplinäre Frühförderstellen und sozialpädiatrische Zentren ausgeführten Leistungen nach § 46 Abs. 1 und 2 des Neunten Buches Sozialgesetzbuch zur Früherkennung und Frühförderung noch nicht eingeschulter behinderter und von Behinderung bedrohter Kinder, die Übernahme und die Teilung der Kosten zwischen den beteiligten Rehabilitationsträgern sowie die Vereinbarung der Entgelte richtet sich nach den folgenden Vorschriften.</w:t>
      </w:r>
    </w:p>
    <w:p>
      <w:r>
        <w:rPr>
          <w:color w:val="555555"/>
          <w:sz w:val="17"/>
        </w:rPr>
        <w:t xml:space="preserve">Zitiervorschlag: § 1 FrühV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https://recht.nulegal.eu/gesetze/Fr%C3%BChV/1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