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FotoMedFachAusbV — Dauer der Berufsausbildung</w:t>
      </w:r>
    </w:p>
    <w:p>
      <w:r>
        <w:rPr>
          <w:color w:val="555555"/>
          <w:sz w:val="18"/>
        </w:rPr>
        <w:t xml:space="preserve">Verordnung über die Berufsausbildung zum Fotomedienfachmann/zur Fotomedienfachfrau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Jahre.</w:t>
      </w:r>
    </w:p>
    <w:p>
      <w:r>
        <w:rPr>
          <w:color w:val="555555"/>
          <w:sz w:val="17"/>
        </w:rPr>
        <w:t xml:space="preserve">Zitiervorschlag: § 2 FotoMedFachAusbV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https://recht.nulegal.eu/gesetze/FotoMedFachAusbV/2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