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FotoAusbV 2025</w:t>
      </w:r>
    </w:p>
    <w:p>
      <w:r>
        <w:rPr>
          <w:color w:val="555555"/>
          <w:sz w:val="18"/>
        </w:rPr>
        <w:t xml:space="preserve">Fotografen-Ausbildungsverordnung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Auf Grund des § 25 Absatz 1 Satz 1 der Handwerksordnung in der Fassung der Bekanntmachung vom 24. September 1998 (BGBl. I S. 3074; 2006 I S. 2095), der zuletzt durch Artikel 2 Nummer 1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FotoAusbV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https://recht.nulegal.eu/gesetze/FotoAusbV%202025/eingangsformel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