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FotoAusbV 2025 — Inhalt der Zusatzqualifikation</w:t>
      </w:r>
    </w:p>
    <w:p>
      <w:r>
        <w:rPr>
          <w:color w:val="555555"/>
          <w:sz w:val="18"/>
        </w:rPr>
        <w:t xml:space="preserve">Fotografen-Ausbildungsverordnung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Als Zusatzqualifikation kann die Ausbildung in einer weiteren Wahlqualifikation nach § 4 Absatz 3 vereinbart werden, die nicht im Rahmen der Berufsausbildung gewählt worden ist.</w:t>
      </w:r>
    </w:p>
    <w:p>
      <w:r>
        <w:t xml:space="preserve">(2) Für die Vermittlung der Zusatzqualifikation ist die sachliche Gliederung der Anlage entsprechend anzuwenden.</w:t>
      </w:r>
    </w:p>
    <w:p>
      <w:r>
        <w:rPr>
          <w:color w:val="555555"/>
          <w:sz w:val="17"/>
        </w:rPr>
        <w:t xml:space="preserve">Zitiervorschlag: § 21 FotoAusbV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https://recht.nulegal.eu/gesetze/FotoAusbV%202025/21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