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FotoAusbV 2009</w:t>
      </w:r>
    </w:p>
    <w:p>
      <w:r>
        <w:rPr>
          <w:color w:val="555555"/>
          <w:sz w:val="18"/>
        </w:rPr>
        <w:t xml:space="preserve">Fotografiergewerbe-Ausbildungsverordnung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25 Absatz 1 in Verbindung mit § 26 Absatz 1 und 2 der Handwerksordnung in der Fassung der Bekanntmachung vom 24. September 1998 (BGBl. I S. 3074; 2006 I S. 2095), von denen § 25 Absatz 1 zuletzt durch Artikel 146 der Verordnung vom 31. Oktober 2006 (BGBl. I S. 2407) geändert und § 26 durch Artikel 2 Nummer 4 des Gesetzes vom 23. März 2005 (BGBl. I S. 931) neu gefasst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FotoAusbV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https://recht.nulegal.eu/gesetze/FotoAusbV%202009/eingangsformel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FotoAusbV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