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ForumRG — Stiftungsvermögen; Errichtungsort</w:t>
      </w:r>
    </w:p>
    <w:p>
      <w:r>
        <w:rPr>
          <w:color w:val="555555"/>
          <w:sz w:val="18"/>
        </w:rPr>
        <w:t xml:space="preserve">Forum-Recht-Gesetz</w:t>
      </w:r>
    </w:p>
    <w:p>
      <w:r>
        <w:rPr>
          <w:color w:val="555555"/>
          <w:sz w:val="18"/>
        </w:rPr>
        <w:t xml:space="preserve">Stand: 10.06.2019 (konsolidierte Textfassung, kein amtliches Inkrafttretensdatum)</w:t>
      </w:r>
    </w:p>
    <w:p>
      <w:r>
        <w:t xml:space="preserve">(1) Die Stiftung verfügt über eigenes Vermögen.</w:t>
      </w:r>
    </w:p>
    <w:p>
      <w:r>
        <w:t xml:space="preserve">(2) Zur Erfüllung des Stiftungszwecks erhält die Stiftung eine jährliche Zuweisung des Bundes nach Maßgabe des jeweiligen Bundeshaushalts.</w:t>
      </w:r>
    </w:p>
    <w:p>
      <w:r>
        <w:t xml:space="preserve">(3) Die Stiftung ist berechtigt, Zuwendungen von dritter Seite anzunehmen. Die Annahme darf nur erfolgen, wenn damit keine Auflagen verbunden sind, die die Erfüllung des Stiftungszwecks beeinträchtigen.</w:t>
      </w:r>
    </w:p>
    <w:p>
      <w:r>
        <w:t xml:space="preserve">(4) Erträgnisse des Stiftungsvermögens und sonstige Einnahmen sind nur für den Stiftungszweck zu verwenden.</w:t>
      </w:r>
    </w:p>
    <w:p>
      <w:r>
        <w:t xml:space="preserve">(5) Das Forum Recht (§ 2 Absatz 2 Nummer 1) wird in unmittelbarer Nähe zu den Gebäuden des Bundesgerichtshofs in Karlsruhe auf dem Grundstückskomplex zwischen Karlstraße, Kriegsstraße, Herrenstraße, Ritterstraße und Blumenstraße errichtet. Die Durchführung des Bauvorhabens in Karlsruhe und der Unterbringung in Leipzig erfolgt im Rahmen des einheitlichen Liegenschaftsmanagements.</w:t>
      </w:r>
    </w:p>
    <w:p>
      <w:r>
        <w:rPr>
          <w:color w:val="555555"/>
          <w:sz w:val="17"/>
        </w:rPr>
        <w:t xml:space="preserve">Zitiervorschlag: § 4 ForumRG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https://recht.nulegal.eu/gesetze/ForumRG/4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