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ForumRG — Name, Sitz und Rechtsform der Stiftung; Siegel; Standort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 dem Namen „Stiftung Forum Recht“ wird eine rechtsfähige bundesunmittelbare Stiftung des öffentlichen Rechts mit Sitz in Karlsruhe errichtet. Die Stiftung entsteht mit dem Inkrafttreten dieses Gesetzes.</w:t>
      </w:r>
    </w:p>
    <w:p>
      <w:r>
        <w:t xml:space="preserve">(2) Die Stiftung führt als Dienstsiegel das kleine Bundessiegel mit der Umschrift „Stiftung Forum Recht“.</w:t>
      </w:r>
    </w:p>
    <w:p>
      <w:r>
        <w:t xml:space="preserve">(3) Die Stiftung richtet einen Standort in Leipzig ein.</w:t>
      </w:r>
    </w:p>
    <w:p>
      <w:r>
        <w:rPr>
          <w:color w:val="555555"/>
          <w:sz w:val="17"/>
        </w:rPr>
        <w:t xml:space="preserve">Zitiervorschlag: § 1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