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ForstWiMeistPrV 2004 — Bestehen der Meisterprüfung</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Die drei Prüfungsteile sind gesondert zu bewerten. Für den Teil "Produktion und Dienstleistungen" ist eine Note als arithmetisches Mittel aus den Bewertungen der Leistungen in der Prüfung gemäß § 3 Abs. 4 und in der Prüfung gemäß § 3 Abs. 5 zu bilden. Dabei hat die Note in der Prüfung gemäß § 3 Abs. 4 das doppelte Gewicht. Für den Teil "Betriebs- und Unternehmensführung" ist eine Note als arithmetisches Mittel aus den Bewertungen der Leistungen in der Prüfung gemäß § 4 Abs. 4 und in der Prüfung gemäß § 4 Abs. 5 zu bilden. Dabei hat die Note gemäß § 4 Abs. 4 das doppelte Gewicht. Für den Teil „Berufsausbildung und Mitarbeiterführung“ ist eine Note als arithmetisches Mittel aus den Bewertungen der Leistungen in den Prüfungen nach § 5 Absatz 10 und 11 im Abschnitt Berufsausbildung sowie der Leistung in der Prüfung nach § 5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5 Absatz 10 und in der Prüfung nach § 5 Absatz 11 zu bilden; dabei hat die Note in der Prüfung nach § 5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(4) Die Prüfungen nach § 3 Absatz 5, § 4 Absatz 5 und § 5 Absatz 11 sind jeweils durch eine mündliche Prüfung zu ergänzen, wenn diese für das Bestehen der Prüfung den Ausschlag geben kann.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7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