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ForstSchAusglG — Übervorräte bei der Holzwirtschaft</w:t>
      </w:r>
    </w:p>
    <w:p>
      <w:r>
        <w:rPr>
          <w:color w:val="555555"/>
          <w:sz w:val="18"/>
        </w:rPr>
        <w:t xml:space="preserve">Forstschäden-Ausgleichsgesetz</w:t>
      </w:r>
    </w:p>
    <w:p>
      <w:r>
        <w:rPr>
          <w:color w:val="555555"/>
          <w:sz w:val="18"/>
        </w:rPr>
        <w:t xml:space="preserve">Stand: 10.06.2019 (konsolidierte Textfassung, kein amtliches Inkrafttretensdatum)</w:t>
      </w:r>
    </w:p>
    <w:p>
      <w:r>
        <w:t xml:space="preserve">(1) Steuerpflichtige, die den Gewinn nach § 5 des Einkommensteuergesetzes ermitteln, können den Mehrbestand an</w:t>
      </w:r>
    </w:p>
    <w:p>
      <w:pPr>
        <w:ind w:left="420"/>
      </w:pPr>
      <w:r>
        <w:t xml:space="preserve">1. Holz im Sinne der Nr. 44.01 und 44.03 des Zolltarifs,</w:t>
      </w:r>
    </w:p>
    <w:p>
      <w:pPr>
        <w:ind w:left="420"/>
      </w:pPr>
      <w:r>
        <w:t xml:space="preserve">2. Holzhalbwaren im Sinne der Nr. 44.05, 44.07, 44.11, 44.13, 44.15 und 44.18 des Zolltarifs und</w:t>
      </w:r>
    </w:p>
    <w:p>
      <w:pPr>
        <w:ind w:left="420"/>
      </w:pPr>
      <w:r>
        <w:t xml:space="preserve">3. Halbstoffen aus Holz im Sinne der Nr. 47.01 des Zolltarifs</w:t>
      </w:r>
    </w:p>
    <w:p>
      <w:r>
        <w:t xml:space="preserve">an Bilanzstichtagen, die in einen Zeitraum fallen, für den eine Einschlagsbeschränkung im Sinne des § 1 angeordnet ist, statt mit dem sich nach § 6 Abs. 1 Nr. 2 des Einkommensteuergesetzes ergebenden Wert mit einem um 50 vom Hundert niedrigeren Wert ansetzen. Anstelle eines Bilanzstichtages innerhalb des Zeitraums einer Einschlagsbeschränkung kann Satz 1 auch auf den ersten Bilanzstichtag nach Ablauf der Einschlagsbeschränkung angewendet werden. Der niedrigere Wertansatz ist nur zulässig für Wirtschaftsgüter, die aus im Inland erzeugtem Holz bestehen.</w:t>
      </w:r>
    </w:p>
    <w:p>
      <w:r>
        <w:t xml:space="preserve">(2) Mehrbestand ist die mengenmäßige Erhöhung der Bestände an Holz oder Holzwaren im Sinne des Absatzes 1 gegenüber den durchschnittlichen Beständen an diesen Waren an den letzten drei vorangegangenen Bilanzstichtagen, die nach Abzug etwaiger bei diesen Wirtschaftsgütern eingetretener mengenmäßiger Bestandsminderungen verbleibt. Die mengenmäßigen Bestandsänderungen an Bilanzstichtagen gegenüber den durchschnittlichen Beständen an den letzten drei vorangegangenen Bilanzstichtagen sind dabei für die in Absatz 1 Satz 1 Nr. 1, 2 und 3 genannten Wirtschaftsgüter getrennt zu ermitteln. Der Abzug der Bestandsminderungen ist in der Weise durchzuführen, daß bei den Bestandserhöhungen die Mengen abzusetzen sind, die dem Wert der Bestandsminderungen entsprechen; dabei sind die Wirtschaftsgüter mit dem Wiederbeschaffungspreis am Bilanzstichtag zu bewerten.</w:t>
      </w:r>
    </w:p>
    <w:p>
      <w:r>
        <w:rPr>
          <w:color w:val="555555"/>
          <w:sz w:val="17"/>
        </w:rPr>
        <w:t xml:space="preserve">Zitiervorschlag: § 7 ForstSchAusglG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https://recht.nulegal.eu/gesetze/ForstSchAusglG/7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