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ForstSchAusglG — Sonstige steuerliche Maßnahmen</w:t>
      </w:r>
    </w:p>
    <w:p>
      <w:r>
        <w:rPr>
          <w:color w:val="555555"/>
          <w:sz w:val="18"/>
        </w:rPr>
        <w:t xml:space="preserve">Forstschäden-Ausgleichsgesetz</w:t>
      </w:r>
    </w:p>
    <w:p>
      <w:r>
        <w:rPr>
          <w:color w:val="555555"/>
          <w:sz w:val="18"/>
        </w:rPr>
        <w:t xml:space="preserve">Stand: 10.06.2019 (konsolidierte Textfassung, kein amtliches Inkrafttretensdatum)</w:t>
      </w:r>
    </w:p>
    <w:p>
      <w:r>
        <w:t xml:space="preserve">(1) Im Wirtschaftsjahr einer Einschlagsbeschränkung nach § 1 gilt für jegliche Kalamitätsnutzung einheitlich der Steuersatz nach § 34b Absatz 3 Nummer 2 des Einkommensteuergesetzes.</w:t>
      </w:r>
    </w:p>
    <w:p>
      <w:r>
        <w:t xml:space="preserve">(2) Kalamitätsnutzungen, die in Folgejahren gezogen werden und im ursächlichen Zusammenhang mit einer Kalamitätsnutzung stehen, welche in der Zeit einer Einschlagsbeschränkung angefallen ist, können einkommensteuerlich so behandelt werden, als wären sie im Jahr der Einschlagsbeschränkung mit der ersten Mitteilung des Schadensfalles angefallen.</w:t>
      </w:r>
    </w:p>
    <w:p>
      <w:r>
        <w:rPr>
          <w:color w:val="555555"/>
          <w:sz w:val="17"/>
        </w:rPr>
        <w:t xml:space="preserve">Zitiervorschlag: § 5 ForstSchAusglG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https://recht.nulegal.eu/gesetze/ForstSchAusglG/5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