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ForstSchAusglG — Beschränkung der Holzeinfuhr</w:t>
      </w:r>
    </w:p>
    <w:p>
      <w:r>
        <w:rPr>
          <w:color w:val="555555"/>
          <w:sz w:val="18"/>
        </w:rPr>
        <w:t xml:space="preserve">Forstschäden-Ausgleichsgesetz</w:t>
      </w:r>
    </w:p>
    <w:p>
      <w:r>
        <w:rPr>
          <w:color w:val="555555"/>
          <w:sz w:val="18"/>
        </w:rPr>
        <w:t xml:space="preserve">Stand: 10.06.2019 (konsolidierte Textfassung, kein amtliches Inkrafttretensdatum)</w:t>
      </w:r>
    </w:p>
    <w:p>
      <w:r>
        <w:t xml:space="preserve">Die Einfuhr von Holz und Holzerzeugnissen der ersten Bearbeitungsstufe kann, soweit es mit dem Recht der Europäischen Wirtschaftsgemeinschaft vereinbar ist, auf Grund des Außenwirtschaftsgesetzes auch zur Wahrnehmung der durch § 1 Abs. 1 geschützten Belange beschränkt werden, wenn der Erfolg einer Einschlagsbeschränkung ohne die Einfuhrbeschränkung erheblich gefährdet würde und eine solche Gefährdung im Interesse der Allgemeinheit abgewendet werden muß oder wenn nach einem bundesweiten Großschaden eine Einschlagsbeschränkung angesichts der Schwere der Störung auf dem Rohholzmarkt wirkungslos wäre.</w:t>
      </w:r>
    </w:p>
    <w:p>
      <w:r>
        <w:rPr>
          <w:color w:val="555555"/>
          <w:sz w:val="17"/>
        </w:rPr>
        <w:t xml:space="preserve">Zitiervorschlag: § 2 ForstSchAusglG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https://recht.nulegal.eu/gesetze/ForstSchAusglG/2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