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ForstOrgV (Bayern)</w:t>
      </w:r>
    </w:p>
    <w:p>
      <w:r>
        <w:rPr>
          <w:color w:val="555555"/>
          <w:sz w:val="18"/>
        </w:rPr>
        <w:t xml:space="preserve">Forstorganisationsverordnung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§ 1 der Verordnung über die Einrichtung der staatlichen Behörden (BayRS 200-1-S) erlässt das Bayerische Staatsministerium für Landwirtschaft und Forsten folgende Verordnung:</w:t>
      </w:r>
    </w:p>
    <w:p>
      <w:r>
        <w:rPr>
          <w:color w:val="555555"/>
          <w:sz w:val="17"/>
        </w:rPr>
        <w:t xml:space="preserve">Zitiervorschlag: Eingangsformel ForstOrgV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https://recht.nulegal.eu/gesetze/ForstOrgV/eingangsformel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