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ForstOrgV (Bayern) — Inkrafttreten</w:t>
      </w:r>
    </w:p>
    <w:p>
      <w:r>
        <w:rPr>
          <w:color w:val="555555"/>
          <w:sz w:val="18"/>
        </w:rPr>
        <w:t xml:space="preserve">Forstorganisationsverordnung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Juli 2005 in Kraft.</w:t>
      </w:r>
    </w:p>
    <w:p>
      <w:r>
        <w:rPr>
          <w:color w:val="555555"/>
          <w:sz w:val="17"/>
        </w:rPr>
        <w:t xml:space="preserve">Zitiervorschlag: § 7 ForstOrgV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https://recht.nulegal.eu/gesetze/ForstOrgV/7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