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ForstOrgV (Bayern) — Amt für Waldgenetik</w:t>
      </w:r>
    </w:p>
    <w:p>
      <w:r>
        <w:rPr>
          <w:color w:val="555555"/>
          <w:sz w:val="18"/>
        </w:rPr>
        <w:t xml:space="preserve">Forstorganisationsverordnung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Amt für Waldgenetik (Amt) hat die Aufgabe, die Forstwirtschaft durch Erhaltung und Verbesserung der Erbsubstanz der Waldbäume zu fördern und zu einer nachhaltigen Nutzung forstlicher Genressourcen beizutragen. Ihm obliegen insbesondere:</w:t>
      </w:r>
    </w:p>
    <w:p>
      <w:r>
        <w:t xml:space="preserve">1. die Aufgaben der Landesstelle gemäß den Bestimmungen des Forstvermehrungsgutgesetzes,</w:t>
      </w:r>
    </w:p>
    <w:p>
      <w:r>
        <w:t xml:space="preserve">2. die Qualitätssicherung von forstlichem Vermehrungs- gut mittels Saatgutprüfung und genetischer Untersuchungen,</w:t>
      </w:r>
    </w:p>
    <w:p>
      <w:r>
        <w:t xml:space="preserve">3. die Forschung und Entwicklung im Bereich der Herkunftssicherung, der Waldgenetik, der forstlichen Saat- und Pflanzenzucht sowie zu einschlägigen Fragen des forstlichen Kulturbetriebs,</w:t>
      </w:r>
    </w:p>
    <w:p>
      <w:r>
        <w:t xml:space="preserve">4. die Koordinierung und Durchführung von Maßnahmen zur Erhaltung forstlicher Genressourcen einschließlich genetischem Monitoring,</w:t>
      </w:r>
    </w:p>
    <w:p>
      <w:r>
        <w:t xml:space="preserve">5. die fachliche Beratung und der Wissenstransfer,</w:t>
      </w:r>
    </w:p>
    <w:p>
      <w:r>
        <w:t xml:space="preserve">6. die Mitwirkung bei der forstlichen Aus- und Fortbildung sowie</w:t>
      </w:r>
    </w:p>
    <w:p>
      <w:r>
        <w:t xml:space="preserve">7. die Vertretung des Freistaates Bayern im Gutachterausschuss nach dem Forstvermehrungsgutgesetz und in anderen einschlägigen Fachgremien.</w:t>
      </w:r>
    </w:p>
    <w:p>
      <w:r>
        <w:t xml:space="preserve">(2) Dem Amt können vom Staatsministerium weitere Aufgaben zugewiesen werden. Das Amt kann im Rahmen seiner Kapazität Leistungen für Stellen außerhalb der Forstverwaltung erbringen.</w:t>
      </w:r>
    </w:p>
    <w:p>
      <w:r>
        <w:rPr>
          <w:color w:val="555555"/>
          <w:sz w:val="17"/>
        </w:rPr>
        <w:t xml:space="preserve">Zitiervorschlag: § 3 ForstOrgV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https://recht.nulegal.eu/gesetze/ForstOrgV/3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