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ForstDKlVO (Sachsen)</w:t>
      </w:r>
    </w:p>
    <w:p>
      <w:r>
        <w:rPr>
          <w:color w:val="555555"/>
          <w:sz w:val="18"/>
        </w:rPr>
        <w:t xml:space="preserve">Forstdienstkleidungsverordnung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Es wird im Einvernehmen mit den Staatsministerien des Innern und der Finanzen verordnet aufgrund von</w:t>
      </w:r>
    </w:p>
    <w:p>
      <w:r>
        <w:t xml:space="preserve">1. § 154 Abs. 2 des Beamtengesetzes für den Freistaat Sachsen (SächsBG) vom 17. Dezember 1992 (SächsGVBl. S. 615),</w:t>
      </w:r>
    </w:p>
    <w:p>
      <w:r>
        <w:t xml:space="preserve">2. § 40 Abs. 3, § 44 Abs. 3 Satz 2 des Waldgesetzes für den Freistaat Sachsen (SächsWaldG) vom 10. April 1992 (SächsGVBl. S. 137):</w:t>
      </w:r>
    </w:p>
    <w:p>
      <w:r>
        <w:rPr>
          <w:color w:val="555555"/>
          <w:sz w:val="17"/>
        </w:rPr>
        <w:t xml:space="preserve">Zitiervorschlag: Eingangsformel ForstDKlVO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https://recht.nulegal.eu/gesetze/ForstDKlVO/eingangsformel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