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ForstDKlVO (Sachsen) — Berufs- und Dienstkleidung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Privatforstbedienstete, die gemäß § 44 Abs. 3 des Waldgesetzes für den Freistaat Sachsen befugt sind, die Dienstkleidung der Forstbediensteten des Freistaates nach § 1 Abs. 2 als Berufsbekleidung zu tragen, können diese gemäß § 1 Abs. 2 ohne Dienst- und Funktionsabzeichen tragen. Sie tragen ein entsprechend der Anlage 2 Nr. 3 gestaltetes Ärmelabzeichen, das auf den Arbeitgeber hinweist. Sie können zusätzlich das Wappen ihres Arbeitgebers als Abzeichen an Hut, Mütze oder Barett tragen.</w:t>
      </w:r>
    </w:p>
    <w:p>
      <w:r>
        <w:t xml:space="preserve">(2) Privatforstbedienstete, die nach § 50 Abs. 3 Nr. 2 des Waldgesetzes für den Freistaat Sachsen als Forstschutzbeauftrage verpflichtet sind, tragen die Dienstkleidung gemäß Absatz 1 und als Dienstabzeichen ein Ärmelabzeichen nach Anlage 2 Nr. 4.</w:t>
      </w:r>
    </w:p>
    <w:p>
      <w:r>
        <w:rPr>
          <w:color w:val="555555"/>
          <w:sz w:val="17"/>
        </w:rPr>
        <w:t xml:space="preserve">Zitiervorschlag: § 7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