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ForstDKlVO (Sachsen) — Inkrafttreten, Außerkrafttreten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Gleichzeitig tritt die Anordnung über die Einführung einer Dienstkleidung für Beschäftigte in der Forstwirtschaft vom 26. Mai 1955 (GBl. DDR II Nr. 31 S. 188) außer Kraft.</w:t>
      </w:r>
    </w:p>
    <w:p>
      <w:r>
        <w:t xml:space="preserve">Dresden, den 20. Juni 1994</w:t>
      </w:r>
    </w:p>
    <w:p>
      <w:r>
        <w:t xml:space="preserve">Der Staatsminister für Landwirtschaft,</w:t>
      </w:r>
    </w:p>
    <w:p>
      <w:r>
        <w:t xml:space="preserve">Ernährung und Forsten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10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