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Forst (Bayern) — Spezielle Stichtage Berlin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 die Stelle der in den nachfolgenden Regelungen des TV-L aufgeführten Daten treten abweichend von den Regelungen des TV-L-Forst folgende Daten:</w:t>
      </w:r>
    </w:p>
    <w:p>
      <w:r>
        <w:t xml:space="preserve">In</w:t>
      </w:r>
    </w:p>
    <w:p>
      <w:r>
        <w:t xml:space="preserve">tritt an die Stelle des Datums</w:t>
      </w:r>
    </w:p>
    <w:p>
      <w:r>
        <w:t xml:space="preserve">das Datum</w:t>
      </w:r>
    </w:p>
    <w:p>
      <w:r>
        <w:t xml:space="preserve">§ 8 Absatz 6 TV-L</w:t>
      </w:r>
    </w:p>
    <w:p>
      <w:r>
        <w:t xml:space="preserve">31. Oktober 2006</w:t>
      </w:r>
    </w:p>
    <w:p>
      <w:r>
        <w:t xml:space="preserve">31. Oktober 2010</w:t>
      </w:r>
    </w:p>
    <w:p>
      <w:r>
        <w:t xml:space="preserve">§ 16 Absatz 2 Satz 3 TV-L</w:t>
      </w:r>
    </w:p>
    <w:p>
      <w:r>
        <w:t xml:space="preserve">31. Januar 2010</w:t>
      </w:r>
    </w:p>
    <w:p>
      <w:r>
        <w:t xml:space="preserve">31. Januar 2014</w:t>
      </w:r>
    </w:p>
    <w:p>
      <w:r>
        <w:t xml:space="preserve">§ 20 Absatz 6 TV-L</w:t>
      </w:r>
    </w:p>
    <w:p>
      <w:r>
        <w:t xml:space="preserve">20. Mai 2006</w:t>
      </w:r>
    </w:p>
    <w:p>
      <w:r>
        <w:t xml:space="preserve">31. Dezember 2009</w:t>
      </w:r>
    </w:p>
    <w:p>
      <w:r>
        <w:t xml:space="preserve">§ 34 Absatz 2 Satz 2 TV-L</w:t>
      </w:r>
    </w:p>
    <w:p>
      <w:r>
        <w:t xml:space="preserve">31. Oktober 2006</w:t>
      </w:r>
    </w:p>
    <w:p>
      <w:r>
        <w:t xml:space="preserve">31. Oktober 2010</w:t>
      </w:r>
    </w:p>
    <w:p>
      <w:r>
        <w:rPr>
          <w:color w:val="555555"/>
          <w:sz w:val="17"/>
        </w:rPr>
        <w:t xml:space="preserve">Zitiervorschlag: § 9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