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ForUmV</w:t>
      </w:r>
    </w:p>
    <w:p>
      <w:r>
        <w:rPr>
          <w:color w:val="555555"/>
          <w:sz w:val="18"/>
        </w:rPr>
        <w:t xml:space="preserve">Verordnung über Erhebungen zum forstlichen Umweltmonitoring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41a Absatz 6 des Bundeswaldgesetzes, der durch Artikel 1 Nummer 7 des Gesetzes vom 31. Juli 2010 (BGBl. I S. 1050) eingefügt worden ist, in Verbindung mit § 1 Absatz 2 des Zuständigkeitsanpassungsgesetzes vom 16. August 2002 (BGBl. I S. 3165) und dem Organisationserlass vom 17. Dezember 2013 (BGBl. I S. 4310)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ForUmV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