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ForUmV — Intensivmonitoring</w:t>
      </w:r>
    </w:p>
    <w:p>
      <w:r>
        <w:rPr>
          <w:color w:val="555555"/>
          <w:sz w:val="18"/>
        </w:rPr>
        <w:t xml:space="preserve">Verordnung über Erhebungen zum forstlichen Umweltmonitoring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Beobachtungsflächen für Erhebungen im Rahmen eines Intensivmonitorings sollen so verteilt sein, dass sie wichtige Waldökosysteme auf dem Gebiet der Bundesrepublik Deutschland sowie unterschiedliche Ausprägungen bedeutsamer Standort- und Belastungsfaktoren abbilden. Die nach Landesrecht zuständige Stelle wählt hierzu mindestens eine Beobachtungsfläche pro 256 Tausend Hektar Waldfläche aus.</w:t>
      </w:r>
    </w:p>
    <w:p>
      <w:r>
        <w:t xml:space="preserve">(2) Auf den Beobachtungsflächen des Intensivmonitorings werden Grunddaten nach § 1 Nummer 1 bis 11 erhoben.</w:t>
      </w:r>
    </w:p>
    <w:p>
      <w:r>
        <w:rPr>
          <w:color w:val="555555"/>
          <w:sz w:val="17"/>
        </w:rPr>
        <w:t xml:space="preserve">Zitiervorschlag: § 3 ForUmV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