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FoltÜbkFakProtG</w:t>
      </w:r>
    </w:p>
    <w:p>
      <w:r>
        <w:rPr>
          <w:color w:val="555555"/>
          <w:sz w:val="18"/>
        </w:rPr>
        <w:t xml:space="preserve">Gesetz zu dem Fakultativprotokoll vom 18. Dezember 2002 zum Übereinkommen gegen Folter und andere grausame, unmenschliche oder erniedrigende Behandlung oder Strafe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Aufgaben des Nationalen Präventionsmechanismus nach Artikel 3 des Protokolls werden im Zuständigkeitsbereich der Länder durch eine von diesen einzurichtende Kommission und im Zuständigkeitsbereich des Bundes durch eine vom Bundesministerium der Justiz einzurichtende Bundesstelle wahrgenommen.</w:t>
      </w:r>
    </w:p>
    <w:p>
      <w:r>
        <w:rPr>
          <w:color w:val="555555"/>
          <w:sz w:val="17"/>
        </w:rPr>
        <w:t xml:space="preserve">Zitiervorschlag: Art 2 FoltÜbkFakProtG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https://recht.nulegal.eu/gesetze/Folt%C3%9CbkFakProtG/2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