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FoZulG (Bayern) — Erlaß von Rechtsverordnungen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stellt die nach Art. 3 zu ermittelnde Zahl der verfügbaren Ausbildungsplätze durch Rechtsverordnung fest; diese ist bei Änderung der Ausbildungskapazität jeweils anzupassen.</w:t>
      </w:r>
    </w:p>
    <w:p>
      <w:r>
        <w:t xml:space="preserve">(2) Das Staatsministerium wird ermächtigt, das Verfahren der Zulassungsbeschränkung sowie die Einzelheiten des Auswahlverfahrens nach Art. 5 und 6, insbesondere die Berücksichtigung unterschiedlicher sachlicher Aussagewerte von Prüfungsnoten unter Anlegung eines einheitlichen Leistungsmaßstabes durch Rechtsverordnung festzulegen.</w:t>
      </w:r>
    </w:p>
    <w:p>
      <w:r>
        <w:rPr>
          <w:color w:val="555555"/>
          <w:sz w:val="17"/>
        </w:rPr>
        <w:t xml:space="preserve">Zitiervorschlag: Art 8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