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FoZulG (Bayern) — Vergabe der Ausbildungsplätze</w:t>
      </w:r>
    </w:p>
    <w:p>
      <w:r>
        <w:rPr>
          <w:color w:val="555555"/>
          <w:sz w:val="18"/>
        </w:rPr>
        <w:t xml:space="preserve">Forstzulassungsgesetz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Zulassungsberechtigt ist jeder Bewerber, der die allgemeinen Zulassungsvoraussetzungen erfüllt.</w:t>
      </w:r>
    </w:p>
    <w:p>
      <w:r>
        <w:t xml:space="preserve">(2) Übersteigt die Zahl der zulassungsberechtigten Bewerber die nach Art. 3 festgesetzte Höchstzahl an Ausbildungsplätzen, ist ein Auswahlverfahren nach Art. 5 durchzuführen.</w:t>
      </w:r>
    </w:p>
    <w:p>
      <w:r>
        <w:rPr>
          <w:color w:val="555555"/>
          <w:sz w:val="17"/>
        </w:rPr>
        <w:t xml:space="preserve">Zitiervorschlag: Art 4 FoZulG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https://recht.nulegal.eu/gesetze/FoZulG/4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