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FoVZV</w:t>
      </w:r>
    </w:p>
    <w:p>
      <w:r>
        <w:rPr>
          <w:color w:val="555555"/>
          <w:sz w:val="18"/>
        </w:rPr>
        <w:t xml:space="preserve">Forstvermehrungsgut-Zulassungsverordnung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7 Satz 1 und des § 6 Abs. 3 des Forstvermehrungsgutgesetzes vom 22. Mai 2002 (BGBl. I S. 1658)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FoVZV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