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FoVZV</w:t>
      </w:r>
    </w:p>
    <w:p>
      <w:r>
        <w:rPr>
          <w:color w:val="555555"/>
          <w:sz w:val="18"/>
        </w:rPr>
        <w:t xml:space="preserve">Forstvermehrungsgut-Zulassungsverordnung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Register über zugelassenes Ausgangsmaterial nach § 6 Abs. 1 des Forstvermehrungsgutgesetzes sind die in Anlage 3 dieser Verordnung festgelegten Angaben zu machen.</w:t>
      </w:r>
    </w:p>
    <w:p>
      <w:r>
        <w:rPr>
          <w:color w:val="555555"/>
          <w:sz w:val="17"/>
        </w:rPr>
        <w:t xml:space="preserve">Zitiervorschlag: § 2 FoVZV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